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329BB" w:rsidRPr="00B17642" w:rsidP="00753852" w14:paraId="5A5B2C2D" w14:textId="77777777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BD745D" w:rsidRPr="00B17642" w:rsidP="00753852" w14:paraId="17529DE2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(3.HAFTA)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695287">
        <w:rPr>
          <w:rFonts w:cs="Tahoma"/>
          <w:b/>
          <w:sz w:val="18"/>
          <w:szCs w:val="18"/>
        </w:rPr>
        <w:t>28</w:t>
      </w:r>
      <w:r w:rsidRPr="00B17642">
        <w:rPr>
          <w:rFonts w:cs="Tahoma"/>
          <w:b/>
          <w:sz w:val="18"/>
          <w:szCs w:val="18"/>
        </w:rPr>
        <w:t xml:space="preserve"> EYLÜL</w:t>
      </w:r>
      <w:r w:rsidR="00695287">
        <w:rPr>
          <w:rFonts w:cs="Tahoma"/>
          <w:b/>
          <w:sz w:val="18"/>
          <w:szCs w:val="18"/>
        </w:rPr>
        <w:t>-02 EKİM</w:t>
      </w:r>
      <w:r w:rsidRPr="00B17642">
        <w:rPr>
          <w:rFonts w:cs="Tahoma"/>
          <w:b/>
          <w:sz w:val="18"/>
          <w:szCs w:val="18"/>
        </w:rPr>
        <w:t xml:space="preserve"> </w:t>
      </w:r>
      <w:r w:rsidR="00695287">
        <w:rPr>
          <w:rFonts w:cs="Tahoma"/>
          <w:b/>
          <w:sz w:val="18"/>
          <w:szCs w:val="18"/>
        </w:rPr>
        <w:t>2026</w:t>
      </w:r>
    </w:p>
    <w:p w:rsidR="00172715" w:rsidRPr="00B17642" w:rsidP="00753852" w14:paraId="2C68D175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1010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72"/>
        <w:gridCol w:w="8133"/>
      </w:tblGrid>
      <w:tr w:rsidTr="0045749F">
        <w:tblPrEx>
          <w:tblW w:w="10105" w:type="dxa"/>
          <w:tblLayout w:type="fixed"/>
          <w:tblLook w:val="0000"/>
        </w:tblPrEx>
        <w:trPr>
          <w:cantSplit/>
          <w:trHeight w:val="278"/>
        </w:trPr>
        <w:tc>
          <w:tcPr>
            <w:tcW w:w="197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675397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SÜRE</w:t>
            </w:r>
          </w:p>
        </w:tc>
        <w:tc>
          <w:tcPr>
            <w:tcW w:w="813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BF8A0C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278"/>
        </w:trPr>
        <w:tc>
          <w:tcPr>
            <w:tcW w:w="19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C52572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DERS </w:t>
            </w:r>
          </w:p>
        </w:tc>
        <w:tc>
          <w:tcPr>
            <w:tcW w:w="813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2E7B08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278"/>
        </w:trPr>
        <w:tc>
          <w:tcPr>
            <w:tcW w:w="197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049A06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SINIF </w:t>
            </w:r>
          </w:p>
        </w:tc>
        <w:tc>
          <w:tcPr>
            <w:tcW w:w="813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4AC44E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278"/>
        </w:trPr>
        <w:tc>
          <w:tcPr>
            <w:tcW w:w="19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9C0DFD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        </w:t>
            </w:r>
          </w:p>
        </w:tc>
        <w:tc>
          <w:tcPr>
            <w:tcW w:w="813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79551B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ÇOCUK DÜNYASI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278"/>
        </w:trPr>
        <w:tc>
          <w:tcPr>
            <w:tcW w:w="19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71AC36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METİN</w:t>
            </w:r>
          </w:p>
        </w:tc>
        <w:tc>
          <w:tcPr>
            <w:tcW w:w="813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4F83184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color w:val="FF0000"/>
                <w:sz w:val="18"/>
                <w:szCs w:val="18"/>
              </w:rPr>
              <w:t>HAYDİ UÇURTMA YAPALIM</w:t>
            </w:r>
          </w:p>
        </w:tc>
      </w:tr>
    </w:tbl>
    <w:p w:rsidR="00172715" w:rsidRPr="00B17642" w:rsidP="00753852" w14:paraId="5DC9F7EF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8145"/>
      </w:tblGrid>
      <w:tr w:rsidTr="00057982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7C3C51C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8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2D" w:rsidRPr="0074522D" w:rsidP="0074522D" w14:paraId="6719DF5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4522D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FD7499" w:rsidRPr="0074522D" w:rsidP="0074522D" w14:paraId="3A96D5E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4522D">
              <w:rPr>
                <w:rFonts w:cs="Tahoma"/>
                <w:sz w:val="18"/>
                <w:szCs w:val="18"/>
              </w:rPr>
              <w:t>T.4.3.2. Vurgu, tonlama ve telaffuza dikkat ederek okur.</w:t>
            </w:r>
          </w:p>
          <w:p w:rsidR="0074522D" w:rsidP="0074522D" w14:paraId="746519D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4522D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FD7499" w:rsidP="0074522D" w14:paraId="587D23B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149F">
              <w:rPr>
                <w:rFonts w:cs="Tahoma"/>
                <w:sz w:val="18"/>
                <w:szCs w:val="18"/>
              </w:rPr>
              <w:t>T.4.3.31. Metinler arasında karşılaştırma yapar.</w:t>
            </w:r>
          </w:p>
          <w:p w:rsidR="009A149F" w:rsidRPr="0074522D" w:rsidP="009A149F" w14:paraId="6FC049F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4522D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9A149F" w:rsidP="0074522D" w14:paraId="316F044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39217F">
              <w:rPr>
                <w:rFonts w:cs="Tahoma"/>
                <w:sz w:val="18"/>
                <w:szCs w:val="18"/>
              </w:rPr>
              <w:t>T.4.3.23. Metin türlerini ayırt eder.</w:t>
            </w:r>
          </w:p>
          <w:p w:rsidR="009A149F" w:rsidP="0074522D" w14:paraId="1928DAD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39217F">
              <w:rPr>
                <w:rFonts w:cs="Tahoma"/>
                <w:sz w:val="18"/>
                <w:szCs w:val="18"/>
              </w:rPr>
              <w:t>T.4.3.24. Hikâye edici ve bilgilendirici metinleri oluşturan ögeleri tanır.</w:t>
            </w:r>
          </w:p>
          <w:p w:rsidR="009A149F" w:rsidP="0074522D" w14:paraId="1F6B6C3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4522D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9A149F" w:rsidP="0074522D" w14:paraId="27D9FE5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39217F">
              <w:rPr>
                <w:rFonts w:cs="Tahoma"/>
                <w:sz w:val="18"/>
                <w:szCs w:val="18"/>
              </w:rPr>
              <w:t>T.4.4.21. Yazma stratejilerini uygular.</w:t>
            </w:r>
          </w:p>
          <w:p w:rsidR="0039217F" w:rsidP="0074522D" w14:paraId="6CC112E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39217F">
              <w:rPr>
                <w:rFonts w:cs="Tahoma"/>
                <w:sz w:val="18"/>
                <w:szCs w:val="18"/>
              </w:rPr>
              <w:t>T.4.4.2. Bir işin işlem basamaklarına ilişkin yönergeler yazar.</w:t>
            </w:r>
          </w:p>
          <w:p w:rsidR="00057982" w:rsidRPr="00B17642" w:rsidP="004061AC" w14:paraId="19E7825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061AC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</w:tc>
      </w:tr>
      <w:tr w:rsidTr="00057982">
        <w:tblPrEx>
          <w:tblW w:w="10125" w:type="dxa"/>
          <w:tblLayout w:type="fixed"/>
          <w:tblLook w:val="0000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5A47081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 w14:paraId="1A13E42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2C0C73E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057982">
        <w:tblPrEx>
          <w:tblW w:w="10125" w:type="dxa"/>
          <w:tblLayout w:type="fixed"/>
          <w:tblLook w:val="0000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6265E8E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1C4BCC9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3C0C0F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4522D" w:rsidRPr="0074522D" w:rsidP="0074522D" w14:paraId="3A29518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27 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Hazırlıksız konuşmalar yapar.</w:t>
            </w:r>
          </w:p>
          <w:p w:rsidR="0074522D" w:rsidRPr="0074522D" w:rsidP="0074522D" w14:paraId="051648E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74522D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28-29</w:t>
            </w:r>
            <w:r w:rsidRPr="0074522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Metni okuma kurallarına uygun (sesli, sessiz, vurgu ve tonlama, noktalama işaretleri) okuma yapar.</w:t>
            </w:r>
          </w:p>
          <w:p w:rsidR="0074522D" w:rsidRPr="0074522D" w:rsidP="0074522D" w14:paraId="4EF9341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74522D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9A149F">
              <w:rPr>
                <w:rFonts w:cs="Tahoma"/>
                <w:b/>
                <w:iCs/>
                <w:sz w:val="18"/>
                <w:szCs w:val="18"/>
              </w:rPr>
              <w:t>30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 Bağlamdan yararlanarak bilmediği kelime ve kelime gruplarının anlamını tahmin eder.</w:t>
            </w:r>
          </w:p>
          <w:p w:rsidR="009A149F" w:rsidRPr="0074522D" w:rsidP="009A149F" w14:paraId="5989BE0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31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 Okuduğu metinle ilgili soruları cevaplar.</w:t>
            </w:r>
          </w:p>
          <w:p w:rsidR="009A149F" w:rsidRPr="0074522D" w:rsidP="009A149F" w14:paraId="39271F2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74522D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32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 Metinler arasında karşılaştırma yapar.</w:t>
            </w:r>
          </w:p>
          <w:p w:rsidR="009A149F" w:rsidP="0074522D" w14:paraId="18B0BA8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3</w:t>
            </w:r>
            <w:r w:rsidRPr="0074522D">
              <w:rPr>
                <w:rFonts w:cs="Tahoma"/>
                <w:b/>
                <w:iCs/>
                <w:sz w:val="18"/>
                <w:szCs w:val="18"/>
              </w:rPr>
              <w:t>2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39217F">
              <w:rPr>
                <w:rFonts w:cs="Tahoma"/>
                <w:iCs/>
                <w:sz w:val="18"/>
                <w:szCs w:val="18"/>
              </w:rPr>
              <w:t>Hikâye edici ve bilgilendirici metinleri oluşturan ögeleri tanır.</w:t>
            </w:r>
          </w:p>
          <w:p w:rsidR="0039217F" w:rsidRPr="0074522D" w:rsidP="0074522D" w14:paraId="5EE6D81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74522D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32-33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 Büyük harfleri ve noktalama işaretlerini uygun yerlerde kullanır.</w:t>
            </w:r>
          </w:p>
          <w:p w:rsidR="0074522D" w:rsidRPr="0074522D" w:rsidP="0074522D" w14:paraId="42EFBED6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3</w:t>
            </w:r>
            <w:r w:rsidRPr="0074522D">
              <w:rPr>
                <w:rFonts w:cs="Tahoma"/>
                <w:b/>
                <w:iCs/>
                <w:sz w:val="18"/>
                <w:szCs w:val="18"/>
              </w:rPr>
              <w:t>3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061AC" w:rsidR="004061AC">
              <w:rPr>
                <w:rFonts w:cs="Tahoma"/>
                <w:iCs/>
                <w:sz w:val="18"/>
                <w:szCs w:val="18"/>
              </w:rPr>
              <w:t>Bir işin işlem basamaklarına ilişkin yönergeler yazar.</w:t>
            </w:r>
          </w:p>
          <w:p w:rsidR="0074522D" w:rsidRPr="0074522D" w:rsidP="0074522D" w14:paraId="769248A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74522D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4061AC">
              <w:rPr>
                <w:rFonts w:cs="Tahoma"/>
                <w:b/>
                <w:iCs/>
                <w:sz w:val="18"/>
                <w:szCs w:val="18"/>
              </w:rPr>
              <w:t>34</w:t>
            </w:r>
            <w:r w:rsidRPr="0074522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4061AC" w:rsidR="004061AC">
              <w:rPr>
                <w:rFonts w:cs="Tahoma"/>
                <w:iCs/>
                <w:sz w:val="18"/>
                <w:szCs w:val="18"/>
              </w:rPr>
              <w:t>Yazma stratejilerini uygular.</w:t>
            </w:r>
          </w:p>
          <w:p w:rsidR="00172715" w:rsidRPr="00B17642" w:rsidP="004061AC" w14:paraId="3DF09C0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4522D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4061AC">
              <w:rPr>
                <w:rFonts w:cs="Tahoma"/>
                <w:b/>
                <w:iCs/>
                <w:sz w:val="18"/>
                <w:szCs w:val="18"/>
              </w:rPr>
              <w:t>35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061AC" w:rsidR="004061AC">
              <w:rPr>
                <w:rFonts w:cs="Tahoma"/>
                <w:iCs/>
                <w:sz w:val="18"/>
                <w:szCs w:val="18"/>
              </w:rPr>
              <w:t>Sınıf içindeki tartışma ve konuşmalara katılır.</w:t>
            </w:r>
          </w:p>
        </w:tc>
      </w:tr>
    </w:tbl>
    <w:p w:rsidR="00172715" w:rsidRPr="00B17642" w:rsidP="00753852" w14:paraId="4EA0C2B7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45749F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5749F" w:rsidRPr="00B17642" w:rsidP="00753852" w14:paraId="2526129E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Ölçme-Değerlendirme:</w:t>
            </w:r>
          </w:p>
          <w:p w:rsidR="0045749F" w:rsidRPr="00B17642" w:rsidP="00753852" w14:paraId="6D0F13F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49F" w:rsidRPr="00B17642" w:rsidP="00753852" w14:paraId="61C34D7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 w14:paraId="42825748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29D937E9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210EC14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17C6785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a) Uçurtma yaptırılır. Yapış aşamaları anlattırılır.</w:t>
            </w:r>
          </w:p>
          <w:p w:rsidR="004061AC" w:rsidP="00753852" w14:paraId="17DA94E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b) Metnin bölümleri hakkında bilgiler verilir. </w:t>
            </w:r>
          </w:p>
          <w:p w:rsidR="004061AC" w:rsidP="00753852" w14:paraId="1198C00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c) Metin türleri hakkında bilgi verilir.</w:t>
            </w:r>
          </w:p>
          <w:p w:rsidR="004061AC" w:rsidP="00753852" w14:paraId="72A2853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d) Noktalama işaretlerinden üç noktanın kullanım alanlarına değilir.</w:t>
            </w:r>
          </w:p>
          <w:p w:rsidR="004061AC" w:rsidRPr="00B17642" w:rsidP="00753852" w14:paraId="2C0F52E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e) O</w:t>
            </w:r>
            <w:r>
              <w:rPr>
                <w:rFonts w:cs="Tahoma"/>
                <w:sz w:val="18"/>
                <w:szCs w:val="18"/>
              </w:rPr>
              <w:t>kuma, yazma ve konuşma kurallarına uygun davranışlar sergilemesi beklenir.</w:t>
            </w:r>
          </w:p>
        </w:tc>
      </w:tr>
    </w:tbl>
    <w:p w:rsidR="00172715" w:rsidRPr="00B17642" w:rsidP="00753852" w14:paraId="04E83269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5BFB9081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F1231F" w14:paraId="0119DC1C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F1231F" w14:paraId="5E6BD0A2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F1231F" w14:paraId="0333D82E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172715" w:rsidRPr="00B17642" w:rsidP="00753852" w14:paraId="58383B3A" w14:textId="77777777">
      <w:pPr>
        <w:pStyle w:val="NoSpacing"/>
        <w:rPr>
          <w:rFonts w:cs="Tahoma"/>
          <w:b/>
          <w:sz w:val="18"/>
          <w:szCs w:val="18"/>
        </w:rPr>
      </w:pPr>
    </w:p>
    <w:p w:rsidR="00B17642" w:rsidP="00753852" w14:paraId="17FE47D7" w14:textId="77777777">
      <w:pPr>
        <w:pStyle w:val="NoSpacing"/>
        <w:rPr>
          <w:rFonts w:cs="Tahoma"/>
          <w:b/>
          <w:sz w:val="18"/>
          <w:szCs w:val="18"/>
        </w:rPr>
      </w:pPr>
    </w:p>
    <w:p w:rsidR="00F1231F" w:rsidP="00753852" w14:paraId="7E0F5FBF" w14:textId="77777777">
      <w:pPr>
        <w:pStyle w:val="NoSpacing"/>
        <w:rPr>
          <w:rFonts w:cs="Tahoma"/>
          <w:b/>
          <w:sz w:val="18"/>
          <w:szCs w:val="18"/>
        </w:rPr>
      </w:pPr>
    </w:p>
    <w:p w:rsidR="00F1231F" w:rsidP="00753852" w14:paraId="4A5EC0F3" w14:textId="77777777">
      <w:pPr>
        <w:pStyle w:val="NoSpacing"/>
        <w:rPr>
          <w:rFonts w:cs="Tahoma"/>
          <w:b/>
          <w:sz w:val="18"/>
          <w:szCs w:val="18"/>
        </w:rPr>
      </w:pPr>
    </w:p>
    <w:p w:rsidR="00F1231F" w:rsidP="00753852" w14:paraId="409F3F74" w14:textId="77777777">
      <w:pPr>
        <w:pStyle w:val="NoSpacing"/>
        <w:rPr>
          <w:rFonts w:cs="Tahoma"/>
          <w:b/>
          <w:sz w:val="18"/>
          <w:szCs w:val="18"/>
        </w:rPr>
      </w:pPr>
    </w:p>
    <w:p w:rsidR="00F1231F" w:rsidP="00753852" w14:paraId="083D5E23" w14:textId="77777777">
      <w:pPr>
        <w:pStyle w:val="NoSpacing"/>
        <w:rPr>
          <w:rFonts w:cs="Tahoma"/>
          <w:b/>
          <w:sz w:val="18"/>
          <w:szCs w:val="18"/>
        </w:rPr>
      </w:pPr>
    </w:p>
    <w:p w:rsidR="00F1231F" w:rsidP="00753852" w14:paraId="059B548F" w14:textId="77777777">
      <w:pPr>
        <w:pStyle w:val="NoSpacing"/>
        <w:rPr>
          <w:rFonts w:cs="Tahoma"/>
          <w:b/>
          <w:sz w:val="18"/>
          <w:szCs w:val="18"/>
        </w:rPr>
      </w:pPr>
    </w:p>
    <w:p w:rsidR="00F1231F" w:rsidP="00753852" w14:paraId="1EA2F895" w14:textId="77777777">
      <w:pPr>
        <w:pStyle w:val="NoSpacing"/>
        <w:rPr>
          <w:rFonts w:cs="Tahoma"/>
          <w:b/>
          <w:sz w:val="18"/>
          <w:szCs w:val="18"/>
        </w:rPr>
      </w:pPr>
    </w:p>
    <w:p w:rsidR="00F1231F" w:rsidP="00753852" w14:paraId="4B66A698" w14:textId="77777777">
      <w:pPr>
        <w:pStyle w:val="NoSpacing"/>
        <w:rPr>
          <w:rFonts w:cs="Tahoma"/>
          <w:b/>
          <w:sz w:val="18"/>
          <w:szCs w:val="18"/>
        </w:rPr>
      </w:pPr>
    </w:p>
    <w:p w:rsidR="00F1231F" w:rsidP="00753852" w14:paraId="55A763C2" w14:textId="77777777">
      <w:pPr>
        <w:pStyle w:val="NoSpacing"/>
        <w:rPr>
          <w:rFonts w:cs="Tahoma"/>
          <w:b/>
          <w:sz w:val="18"/>
          <w:szCs w:val="18"/>
        </w:rPr>
      </w:pPr>
    </w:p>
    <w:p w:rsidR="00F1231F" w:rsidP="00753852" w14:paraId="18796F1A" w14:textId="77777777">
      <w:pPr>
        <w:pStyle w:val="NoSpacing"/>
        <w:rPr>
          <w:rFonts w:cs="Tahoma"/>
          <w:b/>
          <w:sz w:val="18"/>
          <w:szCs w:val="18"/>
        </w:rPr>
      </w:pPr>
    </w:p>
    <w:p w:rsidR="00F1231F" w:rsidP="00753852" w14:paraId="23F9520A" w14:textId="77777777">
      <w:pPr>
        <w:pStyle w:val="NoSpacing"/>
        <w:rPr>
          <w:rFonts w:cs="Tahoma"/>
          <w:b/>
          <w:sz w:val="18"/>
          <w:szCs w:val="18"/>
        </w:rPr>
      </w:pPr>
    </w:p>
    <w:p w:rsidR="00F1231F" w:rsidP="00753852" w14:paraId="7EA956D2" w14:textId="77777777">
      <w:pPr>
        <w:pStyle w:val="NoSpacing"/>
        <w:rPr>
          <w:rFonts w:cs="Tahoma"/>
          <w:b/>
          <w:sz w:val="18"/>
          <w:szCs w:val="18"/>
        </w:rPr>
      </w:pPr>
    </w:p>
    <w:p w:rsidR="00F1231F" w:rsidRPr="00B17642" w:rsidP="00753852" w14:paraId="28511456" w14:textId="77777777">
      <w:pPr>
        <w:pStyle w:val="NoSpacing"/>
        <w:rPr>
          <w:rFonts w:cs="Tahoma"/>
          <w:b/>
          <w:sz w:val="18"/>
          <w:szCs w:val="18"/>
        </w:rPr>
      </w:pPr>
    </w:p>
    <w:p w:rsidR="00B17642" w:rsidP="00753852" w14:paraId="27196302" w14:textId="77777777">
      <w:pPr>
        <w:pStyle w:val="NoSpacing"/>
        <w:rPr>
          <w:rFonts w:cs="Tahoma"/>
          <w:b/>
          <w:sz w:val="18"/>
          <w:szCs w:val="18"/>
        </w:rPr>
      </w:pPr>
    </w:p>
    <w:p w:rsidR="000C7484" w:rsidRPr="00B17642" w:rsidP="00753852" w14:paraId="6CDC09D4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